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10656"/>
      </w:tblGrid>
      <w:tr>
        <w:tc>
          <w:tcPr>
            <w:tcW w:type="dxa" w:w="10584"/>
            <w:vAlign w:val="center"/>
            <w:shd w:fill="0B1F3A"/>
            <w:tcMar>
              <w:top w:w="120" w:type="dxa"/>
              <w:bottom w:w="110" w:type="dxa"/>
              <w:left w:w="180" w:type="dxa"/>
              <w:right w:w="180" w:type="dxa"/>
            </w:tcMar>
          </w:tcPr>
          <w:p>
            <w:pPr>
              <w:jc w:val="left"/>
            </w:pPr>
            <w:r>
              <w:rPr>
                <w:rFonts w:ascii="Aptos Display" w:hAnsi="Aptos Display"/>
                <w:b/>
                <w:color w:val="FFFFFF"/>
                <w:sz w:val="48"/>
              </w:rPr>
              <w:t>TERRY HORTON</w:t>
            </w:r>
          </w:p>
          <w:p>
            <w:pPr>
              <w:spacing w:before="20" w:after="0"/>
            </w:pPr>
            <w:r>
              <w:rPr>
                <w:rFonts w:ascii="Aptos" w:hAnsi="Aptos"/>
                <w:b/>
                <w:color w:val="E8EEF6"/>
                <w:sz w:val="19"/>
              </w:rPr>
              <w:t>EXECUTIVE OF OPERATIONS  |  REAL ESTATE INVESTOR  |  HOUSING PROVIDER  |  APPRAISAL-FAIRNESS ADVOCATE</w:t>
            </w:r>
          </w:p>
        </w:tc>
      </w:tr>
    </w:tbl>
    <w:p>
      <w:pPr>
        <w:spacing w:after="0"/>
      </w:pPr>
    </w:p>
    <w:tbl>
      <w:tblPr>
        <w:tblW w:type="auto" w:w="0"/>
        <w:jc w:val="center"/>
        <w:tblLayout w:type="fixed"/>
        <w:tblLook w:firstColumn="1" w:firstRow="1" w:lastColumn="0" w:lastRow="0" w:noHBand="0" w:noVBand="1" w:val="04A0"/>
      </w:tblPr>
      <w:tblGrid>
        <w:gridCol w:w="5328"/>
        <w:gridCol w:w="5328"/>
      </w:tblGrid>
      <w:tr>
        <w:tc>
          <w:tcPr>
            <w:tcW w:type="dxa" w:w="6984"/>
            <w:vAlign w:val="top"/>
            <w:tcMar>
              <w:top w:w="80" w:type="dxa"/>
              <w:bottom w:w="80" w:type="dxa"/>
              <w:left w:w="100" w:type="dxa"/>
              <w:right w:w="100" w:type="dxa"/>
            </w:tcMar>
          </w:tcPr>
          <w:p/>
          <w:p>
            <w:pPr>
              <w:spacing w:before="80" w:after="40"/>
              <w:pBdr>
                <w:bottom w:val="single" w:sz="10" w:space="2" w:color="C8A44D"/>
              </w:pBdr>
            </w:pPr>
            <w:r>
              <w:rPr>
                <w:rFonts w:ascii="Aptos" w:hAnsi="Aptos"/>
                <w:b/>
                <w:color w:val="0B1F3A"/>
                <w:sz w:val="21"/>
              </w:rPr>
              <w:t>SHORT BIO</w:t>
            </w:r>
          </w:p>
          <w:p>
            <w:pPr>
              <w:spacing w:after="80" w:line="252" w:lineRule="auto"/>
            </w:pPr>
            <w:r>
              <w:rPr>
                <w:rFonts w:ascii="Aptos" w:hAnsi="Aptos"/>
                <w:b w:val="0"/>
                <w:i w:val="0"/>
                <w:color w:val="1C2431"/>
                <w:sz w:val="18"/>
              </w:rPr>
              <w:t>Terry Horton is a Cincinnati real estate investor, housing provider, and Executive of Operations at Horton Visionary Properties LLC. His Dana Avenue appraisal-bias case received national and local media attention and helped elevate public discussion around fair valuation, access to capital, housing equity, and generational wealth. Horton combines hands-on property operations with advocacy, leadership, and a commitment to creating quality housing and long-term community impact.</w:t>
            </w:r>
          </w:p>
          <w:p>
            <w:pPr>
              <w:spacing w:before="80" w:after="40"/>
              <w:pBdr>
                <w:bottom w:val="single" w:sz="10" w:space="2" w:color="C8A44D"/>
              </w:pBdr>
            </w:pPr>
            <w:r>
              <w:rPr>
                <w:rFonts w:ascii="Aptos" w:hAnsi="Aptos"/>
                <w:b/>
                <w:color w:val="0B1F3A"/>
                <w:sz w:val="21"/>
              </w:rPr>
              <w:t>EXTENDED BIO</w:t>
            </w:r>
          </w:p>
          <w:p>
            <w:pPr>
              <w:spacing w:after="80" w:line="252" w:lineRule="auto"/>
            </w:pPr>
            <w:r>
              <w:rPr>
                <w:rFonts w:ascii="Aptos" w:hAnsi="Aptos"/>
                <w:b w:val="0"/>
                <w:i w:val="0"/>
                <w:color w:val="1C2431"/>
                <w:sz w:val="18"/>
              </w:rPr>
              <w:t>Terry Horton is the Executive of Operations at Horton Visionary Properties LLC, a Cincinnati-based real estate company focused on responsible ownership, quality housing, portfolio growth, and legacy building. With decades of professional experience and more than 30 years of real estate investing, he brings an operator’s perspective to property management, financing, tenant relations, and community-centered housing.</w:t>
            </w:r>
          </w:p>
          <w:p>
            <w:pPr>
              <w:spacing w:after="80" w:line="252" w:lineRule="auto"/>
            </w:pPr>
            <w:r>
              <w:rPr>
                <w:rFonts w:ascii="Aptos" w:hAnsi="Aptos"/>
                <w:b w:val="0"/>
                <w:i w:val="0"/>
                <w:color w:val="1C2431"/>
                <w:sz w:val="18"/>
              </w:rPr>
              <w:t>Horton became a nationally recognized voice in the conversation about appraisal fairness after a bank-ordered valuation of his Dana Avenue multifamily property came in substantially below a later independent appraisal. The dispute affected his ability to refinance and access capital for additional housing investment. His case was covered by The New York Times, The Cincinnati Enquirer, WVXU/NPR, WCPO 9, InvestigateTV, NCRC, National Mortgage News, and other housing and appraisal-fairness platforms.</w:t>
            </w:r>
          </w:p>
          <w:p>
            <w:pPr>
              <w:spacing w:after="80" w:line="252" w:lineRule="auto"/>
            </w:pPr>
            <w:r>
              <w:rPr>
                <w:rFonts w:ascii="Aptos" w:hAnsi="Aptos"/>
                <w:b w:val="0"/>
                <w:i w:val="0"/>
                <w:color w:val="1C2431"/>
                <w:sz w:val="18"/>
              </w:rPr>
              <w:t>The experience expanded Horton’s mission beyond ownership and operations. He now advocates for transparent valuation practices, stronger Reconsideration of Value processes, equitable access to capital, and the protection of generational wealth. He has participated in appraisal-policy and modernization conversations with industry leaders, housing advocates, and community stakeholders.</w:t>
            </w:r>
          </w:p>
          <w:p>
            <w:pPr>
              <w:spacing w:after="80" w:line="252" w:lineRule="auto"/>
            </w:pPr>
            <w:r>
              <w:rPr>
                <w:rFonts w:ascii="Aptos" w:hAnsi="Aptos"/>
                <w:b w:val="0"/>
                <w:i w:val="0"/>
                <w:color w:val="1C2431"/>
                <w:sz w:val="18"/>
              </w:rPr>
              <w:t>Through Horton Visionary Properties LLC, his work is guided by a simple purpose: build legacy through ownership, provide quality housing, strengthen communities, and keep going no matter what.</w:t>
            </w:r>
          </w:p>
        </w:tc>
        <w:tc>
          <w:tcPr>
            <w:tcW w:type="dxa" w:w="3528"/>
            <w:vAlign w:val="top"/>
            <w:tcMar>
              <w:top w:w="80" w:type="dxa"/>
              <w:bottom w:w="80" w:type="dxa"/>
              <w:left w:w="100" w:type="dxa"/>
              <w:right w:w="100" w:type="dxa"/>
            </w:tcMar>
            <w:shd w:fill="EEF2F7"/>
          </w:tcPr>
          <w:p/>
          <w:p>
            <w:pPr>
              <w:spacing w:before="80" w:after="40"/>
              <w:pBdr>
                <w:bottom w:val="single" w:sz="10" w:space="2" w:color="C8A44D"/>
              </w:pBdr>
            </w:pPr>
            <w:r>
              <w:rPr>
                <w:rFonts w:ascii="Aptos" w:hAnsi="Aptos"/>
                <w:b/>
                <w:color w:val="0B1F3A"/>
                <w:sz w:val="21"/>
              </w:rPr>
              <w:t>PROFESSIONAL PROFILE</w:t>
            </w:r>
          </w:p>
          <w:p>
            <w:pPr>
              <w:spacing w:after="36"/>
              <w:ind w:left="230" w:hanging="173"/>
            </w:pPr>
            <w:r>
              <w:rPr>
                <w:color w:val="1C2431"/>
                <w:sz w:val="17"/>
              </w:rPr>
              <w:t>•  Executive of Operations, Horton Visionary Properties LLC</w:t>
            </w:r>
          </w:p>
          <w:p>
            <w:pPr>
              <w:spacing w:after="36"/>
              <w:ind w:left="230" w:hanging="173"/>
            </w:pPr>
            <w:r>
              <w:rPr>
                <w:color w:val="1C2431"/>
                <w:sz w:val="17"/>
              </w:rPr>
              <w:t>•  Cincinnati real estate investor and housing provider</w:t>
            </w:r>
          </w:p>
          <w:p>
            <w:pPr>
              <w:spacing w:after="36"/>
              <w:ind w:left="230" w:hanging="173"/>
            </w:pPr>
            <w:r>
              <w:rPr>
                <w:color w:val="1C2431"/>
                <w:sz w:val="17"/>
              </w:rPr>
              <w:t>•  Appraisal-fairness and access-to-capital advocate</w:t>
            </w:r>
          </w:p>
          <w:p>
            <w:pPr>
              <w:spacing w:after="36"/>
              <w:ind w:left="230" w:hanging="173"/>
            </w:pPr>
            <w:r>
              <w:rPr>
                <w:color w:val="1C2431"/>
                <w:sz w:val="17"/>
              </w:rPr>
              <w:t>•  Experienced in multifamily operations, financing, and tenant relations</w:t>
            </w:r>
          </w:p>
          <w:p>
            <w:pPr>
              <w:spacing w:after="36"/>
              <w:ind w:left="230" w:hanging="173"/>
            </w:pPr>
            <w:r>
              <w:rPr>
                <w:color w:val="1C2431"/>
                <w:sz w:val="17"/>
              </w:rPr>
              <w:t>•  Participant in national appraisal-policy conversations</w:t>
            </w:r>
          </w:p>
          <w:p>
            <w:pPr>
              <w:spacing w:before="80" w:after="40"/>
              <w:pBdr>
                <w:bottom w:val="single" w:sz="10" w:space="2" w:color="C8A44D"/>
              </w:pBdr>
            </w:pPr>
            <w:r>
              <w:rPr>
                <w:rFonts w:ascii="Aptos" w:hAnsi="Aptos"/>
                <w:b/>
                <w:color w:val="0B1F3A"/>
                <w:sz w:val="21"/>
              </w:rPr>
              <w:t>MEDIA &amp; PUBLIC RECOGNITION</w:t>
            </w:r>
          </w:p>
          <w:p>
            <w:pPr>
              <w:spacing w:after="36"/>
              <w:ind w:left="230" w:hanging="173"/>
            </w:pPr>
            <w:r>
              <w:rPr>
                <w:color w:val="1C2431"/>
                <w:sz w:val="17"/>
              </w:rPr>
              <w:t>•  The New York Times</w:t>
            </w:r>
          </w:p>
          <w:p>
            <w:pPr>
              <w:spacing w:after="36"/>
              <w:ind w:left="230" w:hanging="173"/>
            </w:pPr>
            <w:r>
              <w:rPr>
                <w:color w:val="1C2431"/>
                <w:sz w:val="17"/>
              </w:rPr>
              <w:t>•  The Cincinnati Enquirer</w:t>
            </w:r>
          </w:p>
          <w:p>
            <w:pPr>
              <w:spacing w:after="36"/>
              <w:ind w:left="230" w:hanging="173"/>
            </w:pPr>
            <w:r>
              <w:rPr>
                <w:color w:val="1C2431"/>
                <w:sz w:val="17"/>
              </w:rPr>
              <w:t>•  WVXU / NPR</w:t>
            </w:r>
          </w:p>
          <w:p>
            <w:pPr>
              <w:spacing w:after="36"/>
              <w:ind w:left="230" w:hanging="173"/>
            </w:pPr>
            <w:r>
              <w:rPr>
                <w:color w:val="1C2431"/>
                <w:sz w:val="17"/>
              </w:rPr>
              <w:t>•  WCPO 9</w:t>
            </w:r>
          </w:p>
          <w:p>
            <w:pPr>
              <w:spacing w:after="36"/>
              <w:ind w:left="230" w:hanging="173"/>
            </w:pPr>
            <w:r>
              <w:rPr>
                <w:color w:val="1C2431"/>
                <w:sz w:val="17"/>
              </w:rPr>
              <w:t>•  InvestigateTV</w:t>
            </w:r>
          </w:p>
          <w:p>
            <w:pPr>
              <w:spacing w:after="36"/>
              <w:ind w:left="230" w:hanging="173"/>
            </w:pPr>
            <w:r>
              <w:rPr>
                <w:color w:val="1C2431"/>
                <w:sz w:val="17"/>
              </w:rPr>
              <w:t>•  National Community Reinvestment Coalition</w:t>
            </w:r>
          </w:p>
          <w:p>
            <w:pPr>
              <w:spacing w:after="36"/>
              <w:ind w:left="230" w:hanging="173"/>
            </w:pPr>
            <w:r>
              <w:rPr>
                <w:color w:val="1C2431"/>
                <w:sz w:val="17"/>
              </w:rPr>
              <w:t>•  National Mortgage News</w:t>
            </w:r>
          </w:p>
          <w:p>
            <w:pPr>
              <w:spacing w:before="80" w:after="40"/>
              <w:pBdr>
                <w:bottom w:val="single" w:sz="10" w:space="2" w:color="C8A44D"/>
              </w:pBdr>
            </w:pPr>
            <w:r>
              <w:rPr>
                <w:rFonts w:ascii="Aptos" w:hAnsi="Aptos"/>
                <w:b/>
                <w:color w:val="0B1F3A"/>
                <w:sz w:val="21"/>
              </w:rPr>
              <w:t>SPEAKING TOPICS</w:t>
            </w:r>
          </w:p>
          <w:p>
            <w:pPr>
              <w:spacing w:after="36"/>
              <w:ind w:left="230" w:hanging="173"/>
            </w:pPr>
            <w:r>
              <w:rPr>
                <w:color w:val="1C2431"/>
                <w:sz w:val="17"/>
              </w:rPr>
              <w:t>•  Appraisal bias and fair valuation</w:t>
            </w:r>
          </w:p>
          <w:p>
            <w:pPr>
              <w:spacing w:after="36"/>
              <w:ind w:left="230" w:hanging="173"/>
            </w:pPr>
            <w:r>
              <w:rPr>
                <w:color w:val="1C2431"/>
                <w:sz w:val="17"/>
              </w:rPr>
              <w:t>•  Reconsideration of Value reform</w:t>
            </w:r>
          </w:p>
          <w:p>
            <w:pPr>
              <w:spacing w:after="36"/>
              <w:ind w:left="230" w:hanging="173"/>
            </w:pPr>
            <w:r>
              <w:rPr>
                <w:color w:val="1C2431"/>
                <w:sz w:val="17"/>
              </w:rPr>
              <w:t>•  Access to capital for Black property owners</w:t>
            </w:r>
          </w:p>
          <w:p>
            <w:pPr>
              <w:spacing w:after="36"/>
              <w:ind w:left="230" w:hanging="173"/>
            </w:pPr>
            <w:r>
              <w:rPr>
                <w:color w:val="1C2431"/>
                <w:sz w:val="17"/>
              </w:rPr>
              <w:t>•  Affordable housing and responsible ownership</w:t>
            </w:r>
          </w:p>
          <w:p>
            <w:pPr>
              <w:spacing w:after="36"/>
              <w:ind w:left="230" w:hanging="173"/>
            </w:pPr>
            <w:r>
              <w:rPr>
                <w:color w:val="1C2431"/>
                <w:sz w:val="17"/>
              </w:rPr>
              <w:t>•  Generational wealth and real estate</w:t>
            </w:r>
          </w:p>
          <w:p>
            <w:pPr>
              <w:spacing w:after="36"/>
              <w:ind w:left="230" w:hanging="173"/>
            </w:pPr>
            <w:r>
              <w:rPr>
                <w:color w:val="1C2431"/>
                <w:sz w:val="17"/>
              </w:rPr>
              <w:t>•  Turning adversity into advocacy</w:t>
            </w:r>
          </w:p>
          <w:p>
            <w:pPr>
              <w:spacing w:before="80" w:after="40"/>
              <w:pBdr>
                <w:bottom w:val="single" w:sz="10" w:space="2" w:color="C8A44D"/>
              </w:pBdr>
            </w:pPr>
            <w:r>
              <w:rPr>
                <w:rFonts w:ascii="Aptos" w:hAnsi="Aptos"/>
                <w:b/>
                <w:color w:val="0B1F3A"/>
                <w:sz w:val="21"/>
              </w:rPr>
              <w:t>CONTACT</w:t>
            </w:r>
          </w:p>
          <w:p>
            <w:pPr>
              <w:spacing w:after="80" w:line="252" w:lineRule="auto"/>
            </w:pPr>
            <w:r>
              <w:rPr>
                <w:rFonts w:ascii="Aptos" w:hAnsi="Aptos"/>
                <w:b/>
                <w:i w:val="0"/>
                <w:color w:val="1C2431"/>
                <w:sz w:val="18"/>
              </w:rPr>
              <w:t>Horton Visionary Properties LLC</w:t>
            </w:r>
          </w:p>
          <w:p>
            <w:pPr>
              <w:spacing w:after="80" w:line="252" w:lineRule="auto"/>
            </w:pPr>
            <w:r>
              <w:rPr>
                <w:rFonts w:ascii="Aptos" w:hAnsi="Aptos"/>
                <w:b w:val="0"/>
                <w:i w:val="0"/>
                <w:color w:val="1C2431"/>
                <w:sz w:val="17"/>
              </w:rPr>
              <w:t>Website</w:t>
              <w:br/>
              <w:t>hortonvisionarypropertiesllc.com</w:t>
            </w:r>
          </w:p>
          <w:p>
            <w:pPr>
              <w:spacing w:after="80" w:line="252" w:lineRule="auto"/>
            </w:pPr>
            <w:r>
              <w:rPr>
                <w:rFonts w:ascii="Aptos" w:hAnsi="Aptos"/>
                <w:b w:val="0"/>
                <w:i w:val="0"/>
                <w:color w:val="1C2431"/>
                <w:sz w:val="17"/>
              </w:rPr>
              <w:t>Email</w:t>
              <w:br/>
              <w:t>visionaryproperties10@gmail.com</w:t>
            </w:r>
          </w:p>
          <w:p>
            <w:pPr>
              <w:spacing w:after="80" w:line="252" w:lineRule="auto"/>
            </w:pPr>
            <w:r>
              <w:rPr>
                <w:rFonts w:ascii="Aptos" w:hAnsi="Aptos"/>
                <w:b w:val="0"/>
                <w:i w:val="0"/>
                <w:color w:val="1C2431"/>
                <w:sz w:val="17"/>
              </w:rPr>
              <w:t>Phone</w:t>
              <w:br/>
              <w:t>513-713-9171</w:t>
            </w:r>
          </w:p>
        </w:tc>
      </w:tr>
    </w:tbl>
    <w:p>
      <w:pPr>
        <w:spacing w:before="40" w:after="0"/>
        <w:jc w:val="center"/>
      </w:pPr>
      <w:r>
        <w:rPr>
          <w:rFonts w:ascii="Aptos" w:hAnsi="Aptos"/>
          <w:b/>
          <w:color w:val="0B1F3A"/>
          <w:sz w:val="16"/>
        </w:rPr>
        <w:t>BUILDING LEGACY THROUGH OWNERSHIP • ADVOCACY • OPPORTUNITY</w:t>
      </w:r>
    </w:p>
    <w:sectPr w:rsidR="00FC693F" w:rsidRPr="0006063C" w:rsidSect="00034616">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olor w:val="1C2431"/>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rPr>
      <w:rFonts w:ascii="Aptos Display" w:hAnsi="Aptos Display"/>
      <w:b/>
      <w:color w:val="FFFFFF"/>
      <w:sz w:val="48"/>
    </w:rPr>
  </w:style>
  <w:style w:type="paragraph" w:customStyle="1" w:styleId="SubtitleCustom">
    <w:name w:val="SubtitleCustom"/>
    <w:rPr>
      <w:rFonts w:ascii="Aptos" w:hAnsi="Aptos"/>
      <w:b w:val="0"/>
      <w:color w:val="FFFFFF"/>
      <w:sz w:val="21"/>
    </w:rPr>
  </w:style>
  <w:style w:type="paragraph" w:customStyle="1" w:styleId="SectionCustom">
    <w:name w:val="SectionCustom"/>
    <w:rPr>
      <w:rFonts w:ascii="Aptos" w:hAnsi="Aptos"/>
      <w:b/>
      <w:color w:val="0B1F3A"/>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